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14224" w:rsidRDefault="00D14224"/>
    <w:tbl>
      <w:tblPr>
        <w:tblW w:w="0" w:type="auto"/>
        <w:tblLook w:val="00BF"/>
      </w:tblPr>
      <w:tblGrid>
        <w:gridCol w:w="4605"/>
        <w:gridCol w:w="5223"/>
      </w:tblGrid>
      <w:tr w:rsidR="00D22CDE">
        <w:trPr>
          <w:trHeight w:val="1431"/>
        </w:trPr>
        <w:tc>
          <w:tcPr>
            <w:tcW w:w="4605" w:type="dxa"/>
          </w:tcPr>
          <w:p w:rsidR="00D22CDE" w:rsidRDefault="00D22CDE"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1" locked="1" layoutInCell="1" allowOverlap="0">
                  <wp:simplePos x="0" y="0"/>
                  <wp:positionH relativeFrom="margin">
                    <wp:posOffset>-47625</wp:posOffset>
                  </wp:positionH>
                  <wp:positionV relativeFrom="page">
                    <wp:posOffset>107950</wp:posOffset>
                  </wp:positionV>
                  <wp:extent cx="2783840" cy="609600"/>
                  <wp:effectExtent l="19050" t="0" r="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84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3" w:type="dxa"/>
          </w:tcPr>
          <w:p w:rsidR="00D22CDE" w:rsidRDefault="00D22CDE">
            <w:pPr>
              <w:tabs>
                <w:tab w:val="left" w:pos="2189"/>
                <w:tab w:val="right" w:pos="9639"/>
              </w:tabs>
              <w:spacing w:before="280"/>
              <w:jc w:val="right"/>
              <w:rPr>
                <w:b/>
                <w:color w:val="000080"/>
                <w:sz w:val="26"/>
                <w:szCs w:val="26"/>
              </w:rPr>
            </w:pPr>
            <w:r>
              <w:rPr>
                <w:b/>
                <w:color w:val="000080"/>
                <w:sz w:val="26"/>
                <w:szCs w:val="26"/>
              </w:rPr>
              <w:t>Fakultät für Agrarwissenschaften</w:t>
            </w:r>
          </w:p>
          <w:p w:rsidR="00D22CDE" w:rsidRDefault="00D22CDE">
            <w:pPr>
              <w:tabs>
                <w:tab w:val="left" w:pos="2189"/>
                <w:tab w:val="right" w:pos="9639"/>
              </w:tabs>
              <w:jc w:val="right"/>
              <w:rPr>
                <w:b/>
                <w:color w:val="808080"/>
                <w:sz w:val="26"/>
                <w:szCs w:val="26"/>
              </w:rPr>
            </w:pPr>
            <w:r>
              <w:rPr>
                <w:b/>
                <w:color w:val="808080"/>
                <w:sz w:val="26"/>
                <w:szCs w:val="26"/>
              </w:rPr>
              <w:t>Dept. für Agrarökonomie und</w:t>
            </w:r>
            <w:r>
              <w:rPr>
                <w:b/>
                <w:color w:val="808080"/>
                <w:sz w:val="26"/>
                <w:szCs w:val="26"/>
              </w:rPr>
              <w:br/>
              <w:t>Rurale Entwicklung</w:t>
            </w:r>
          </w:p>
        </w:tc>
      </w:tr>
    </w:tbl>
    <w:p w:rsidR="001C0530" w:rsidRDefault="001C0530"/>
    <w:p w:rsidR="00D22CDE" w:rsidRDefault="00D22CDE"/>
    <w:p w:rsidR="00D22CDE" w:rsidRPr="006A4A67" w:rsidRDefault="00D22CDE" w:rsidP="00D22CDE">
      <w:pPr>
        <w:pStyle w:val="Titel"/>
        <w:jc w:val="center"/>
      </w:pPr>
      <w:r>
        <w:t xml:space="preserve">Seminar Agrar- und Marktpolitik </w:t>
      </w:r>
      <w:r>
        <w:br/>
        <w:t>WiSe 2010/2011</w:t>
      </w:r>
      <w:r>
        <w:br/>
        <w:t xml:space="preserve">Internationale </w:t>
      </w:r>
      <w:r w:rsidRPr="006A4A67">
        <w:t>Agrarmärkte</w:t>
      </w:r>
    </w:p>
    <w:p w:rsidR="00D22CDE" w:rsidRDefault="00D22CDE" w:rsidP="00D22CDE">
      <w:pPr>
        <w:pStyle w:val="berschrift1"/>
      </w:pPr>
    </w:p>
    <w:p w:rsidR="00D22CDE" w:rsidRDefault="00D22CDE" w:rsidP="00D22CDE">
      <w:pPr>
        <w:pStyle w:val="berschrift1"/>
      </w:pPr>
      <w:r>
        <w:t>Block A: Gesamtwirtschaftlicher Hintergrund</w:t>
      </w:r>
    </w:p>
    <w:p w:rsidR="00D22CDE" w:rsidRPr="00FE6D20" w:rsidRDefault="00D22CDE" w:rsidP="00D22CDE"/>
    <w:p w:rsidR="00D22CDE" w:rsidRDefault="00D22CDE" w:rsidP="00D22CDE">
      <w:pPr>
        <w:pStyle w:val="berschrift2"/>
      </w:pPr>
      <w:r>
        <w:t>Internationale Kapitalmärkte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Finanzierung im internationalen Agrarhandel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London Interbank Offered Rate (LIBOR) und Agrarpreise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Spekulation auf Warenterminmärkten und Agrarpreise </w:t>
      </w:r>
    </w:p>
    <w:p w:rsidR="00D22CDE" w:rsidRDefault="00D22CDE" w:rsidP="00D22CDE">
      <w:pPr>
        <w:pStyle w:val="berschrift2"/>
      </w:pPr>
      <w:r>
        <w:t>Konsequenzen Wirtschafts- und Finanzkrise</w:t>
      </w:r>
      <w:r w:rsidRPr="005D3DE1">
        <w:t xml:space="preserve">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Konsequenzen der Wirtschafts- und Finanzkrise für die Agrarmärkte: EU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 w:rsidRPr="003E5FCD">
        <w:t xml:space="preserve">Konsequenzen der Wirtschafts- und Finanzkrise für die Agrarmärkte: Entwicklungsländer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 w:rsidRPr="00FF3F73">
        <w:t xml:space="preserve">Die Rolle der Weltbank und des Internationalen Währungsfonds </w:t>
      </w:r>
      <w:r>
        <w:t xml:space="preserve"> </w:t>
      </w:r>
    </w:p>
    <w:p w:rsidR="00D22CDE" w:rsidRDefault="00D22CDE" w:rsidP="00D22CDE">
      <w:pPr>
        <w:pStyle w:val="berschrift1"/>
      </w:pPr>
      <w:r>
        <w:t>Block B: Agrarhandelspolitik</w:t>
      </w:r>
    </w:p>
    <w:p w:rsidR="00D22CDE" w:rsidRPr="00ED772C" w:rsidRDefault="00D22CDE" w:rsidP="00D22CDE">
      <w:r>
        <w:t>Instrumente und Protektionsmessung</w:t>
      </w:r>
    </w:p>
    <w:p w:rsidR="00D22CDE" w:rsidRPr="00A01DAE" w:rsidRDefault="00D22CDE" w:rsidP="00D22CDE">
      <w:pPr>
        <w:pStyle w:val="Listenabsatz"/>
        <w:numPr>
          <w:ilvl w:val="0"/>
          <w:numId w:val="1"/>
        </w:numPr>
        <w:rPr>
          <w:lang w:val="en-US"/>
        </w:rPr>
      </w:pPr>
      <w:r w:rsidRPr="00A01DAE">
        <w:rPr>
          <w:lang w:val="en-US"/>
        </w:rPr>
        <w:t>Import-State Trading Enterprises (MF)</w:t>
      </w:r>
    </w:p>
    <w:p w:rsidR="00D22CDE" w:rsidRPr="00A01DAE" w:rsidRDefault="00D22CDE" w:rsidP="00D22CDE">
      <w:pPr>
        <w:pStyle w:val="Listenabsatz"/>
        <w:numPr>
          <w:ilvl w:val="0"/>
          <w:numId w:val="1"/>
        </w:numPr>
        <w:rPr>
          <w:lang w:val="en-US"/>
        </w:rPr>
      </w:pPr>
      <w:r w:rsidRPr="00A01DAE">
        <w:rPr>
          <w:lang w:val="en-US"/>
        </w:rPr>
        <w:t xml:space="preserve">Export-State Trading Enterprises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Exportsteuern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Standards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PSE: Theorie &amp; Empirie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Handelswirkung von entkoppelten Direkt Zahlungen </w:t>
      </w:r>
    </w:p>
    <w:p w:rsidR="00D22CDE" w:rsidRDefault="00D22CDE" w:rsidP="00D22CDE">
      <w:pPr>
        <w:pStyle w:val="berschrift2"/>
      </w:pPr>
    </w:p>
    <w:p w:rsidR="00D22CDE" w:rsidRDefault="00D22CDE" w:rsidP="00D22CDE"/>
    <w:p w:rsidR="00D22CDE" w:rsidRPr="00D22CDE" w:rsidRDefault="00D22CDE" w:rsidP="00D22CDE"/>
    <w:p w:rsidR="00D22CDE" w:rsidRDefault="00D22CDE" w:rsidP="00D22CDE">
      <w:pPr>
        <w:pStyle w:val="berschrift2"/>
      </w:pPr>
      <w:r>
        <w:t>Regionale Handelsabkommen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Freihandelsabkommen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EBA / EPA </w:t>
      </w:r>
    </w:p>
    <w:p w:rsidR="00D22CDE" w:rsidRDefault="00D22CDE" w:rsidP="00D22CDE">
      <w:pPr>
        <w:pStyle w:val="berschrift1"/>
      </w:pPr>
      <w:r>
        <w:t>WTO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State of Play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Gruppierungen in der WTO </w:t>
      </w:r>
    </w:p>
    <w:p w:rsidR="00D22CDE" w:rsidRPr="004F3A7C" w:rsidRDefault="00D22CDE" w:rsidP="00D22CDE">
      <w:pPr>
        <w:pStyle w:val="Listenabsatz"/>
        <w:numPr>
          <w:ilvl w:val="0"/>
          <w:numId w:val="1"/>
        </w:numPr>
        <w:rPr>
          <w:lang w:val="en-US"/>
        </w:rPr>
      </w:pPr>
      <w:r w:rsidRPr="004F3A7C">
        <w:rPr>
          <w:lang w:val="en-US"/>
        </w:rPr>
        <w:t xml:space="preserve">Dispute Settlement Process: Aktuelles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Special safeguard mechanism: Aktuelle Vorschläge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Quersubventionierung in der WTO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Special products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Sensitive products </w:t>
      </w:r>
    </w:p>
    <w:p w:rsidR="00D22CDE" w:rsidRPr="00191373" w:rsidRDefault="00D22CDE" w:rsidP="00D22CDE">
      <w:pPr>
        <w:pStyle w:val="Listenabsatz"/>
        <w:numPr>
          <w:ilvl w:val="0"/>
          <w:numId w:val="1"/>
        </w:numPr>
      </w:pPr>
      <w:r>
        <w:t xml:space="preserve">Entkopplungspolitiken: Internationaler Vergleich </w:t>
      </w:r>
    </w:p>
    <w:p w:rsidR="00D22CDE" w:rsidRDefault="00D22CDE" w:rsidP="00D22CDE">
      <w:pPr>
        <w:pStyle w:val="berschrift1"/>
      </w:pPr>
      <w:r>
        <w:t>Block C: Aktuelle Agrarmarktentwicklungen</w:t>
      </w:r>
    </w:p>
    <w:p w:rsidR="00D22CDE" w:rsidRPr="00FE6D20" w:rsidRDefault="00D22CDE" w:rsidP="00D22CDE"/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Prognosevergleich FAO/OECD versus FAPRI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Weizen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Grobgetreide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Milch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Rindfleisch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Schweinefleisch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Geflügel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Ölsaaten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Baumwolle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Zucker </w:t>
      </w:r>
    </w:p>
    <w:p w:rsidR="00D22CDE" w:rsidRPr="00FF3F73" w:rsidRDefault="00D22CDE" w:rsidP="00D22CDE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t xml:space="preserve">Biotreibstoffe </w:t>
      </w:r>
    </w:p>
    <w:p w:rsidR="00D22CDE" w:rsidRDefault="00D22CDE" w:rsidP="00D22CDE">
      <w:pPr>
        <w:pStyle w:val="Listenabsatz"/>
        <w:numPr>
          <w:ilvl w:val="0"/>
          <w:numId w:val="1"/>
        </w:numPr>
      </w:pPr>
      <w:r>
        <w:t xml:space="preserve">Kaffee </w:t>
      </w:r>
    </w:p>
    <w:p w:rsidR="00D22CDE" w:rsidRPr="00FF3F73" w:rsidRDefault="00D22CDE" w:rsidP="00D22CDE">
      <w:pPr>
        <w:pStyle w:val="Listenabsatz"/>
        <w:numPr>
          <w:ilvl w:val="0"/>
          <w:numId w:val="1"/>
        </w:numPr>
      </w:pPr>
      <w:r w:rsidRPr="00FF3F73">
        <w:t xml:space="preserve">Markt für Ökoprodukte </w:t>
      </w:r>
    </w:p>
    <w:p w:rsidR="00D22CDE" w:rsidRPr="00A353D9" w:rsidRDefault="00D22CDE" w:rsidP="00D22CDE">
      <w:pPr>
        <w:pStyle w:val="Listenabsatz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FF3F73">
        <w:t>Markt für fair gehandelte Produkte</w:t>
      </w:r>
      <w:r>
        <w:t xml:space="preserve"> </w:t>
      </w:r>
    </w:p>
    <w:p w:rsidR="00D22CDE" w:rsidRDefault="00D22CDE" w:rsidP="00BD7690">
      <w:pPr>
        <w:pStyle w:val="Listenabsatz"/>
        <w:numPr>
          <w:ilvl w:val="0"/>
          <w:numId w:val="1"/>
        </w:numPr>
      </w:pPr>
      <w:r w:rsidRPr="00FF3F73">
        <w:t>Markt für Umweltgüter am Beispiel der Leipziger Strombörse</w:t>
      </w:r>
      <w:r>
        <w:t xml:space="preserve"> </w:t>
      </w:r>
    </w:p>
    <w:sectPr w:rsidR="00D22CDE" w:rsidSect="00D22CDE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22CDE" w:rsidRDefault="00D22CDE" w:rsidP="00D22CDE">
      <w:r>
        <w:separator/>
      </w:r>
    </w:p>
  </w:endnote>
  <w:endnote w:type="continuationSeparator" w:id="1">
    <w:p w:rsidR="00D22CDE" w:rsidRDefault="00D22CDE" w:rsidP="00D22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2398944"/>
      <w:docPartObj>
        <w:docPartGallery w:val="Page Numbers (Bottom of Page)"/>
        <w:docPartUnique/>
      </w:docPartObj>
    </w:sdtPr>
    <w:sdtContent>
      <w:p w:rsidR="00D22CDE" w:rsidRDefault="00724FDF">
        <w:pPr>
          <w:pStyle w:val="Fuzeile"/>
          <w:jc w:val="center"/>
        </w:pPr>
        <w:fldSimple w:instr=" PAGE   \* MERGEFORMAT ">
          <w:r w:rsidR="00F0616C">
            <w:rPr>
              <w:noProof/>
            </w:rPr>
            <w:t>2</w:t>
          </w:r>
        </w:fldSimple>
      </w:p>
    </w:sdtContent>
  </w:sdt>
  <w:p w:rsidR="00D22CDE" w:rsidRDefault="00D22CDE">
    <w:pPr>
      <w:pStyle w:val="Fuzeile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22CDE" w:rsidRDefault="00D22CDE" w:rsidP="00D22CDE">
      <w:r>
        <w:separator/>
      </w:r>
    </w:p>
  </w:footnote>
  <w:footnote w:type="continuationSeparator" w:id="1">
    <w:p w:rsidR="00D22CDE" w:rsidRDefault="00D22CDE" w:rsidP="00D22CDE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AD430D6"/>
    <w:multiLevelType w:val="hybridMultilevel"/>
    <w:tmpl w:val="8DEC2FFE"/>
    <w:lvl w:ilvl="0" w:tplc="9B488C7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2CDE"/>
    <w:rsid w:val="001C0530"/>
    <w:rsid w:val="00647870"/>
    <w:rsid w:val="00724FDF"/>
    <w:rsid w:val="00BD7690"/>
    <w:rsid w:val="00D14224"/>
    <w:rsid w:val="00D22CDE"/>
    <w:rsid w:val="00F0616C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2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D22CDE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D22CDE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sid w:val="00D22CDE"/>
    <w:rPr>
      <w:rFonts w:ascii="Cambria" w:eastAsia="Times New Roman" w:hAnsi="Cambria" w:cs="Cambria"/>
      <w:b/>
      <w:bCs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9"/>
    <w:rsid w:val="00D22CDE"/>
    <w:rPr>
      <w:rFonts w:ascii="Cambria" w:eastAsia="Times New Roman" w:hAnsi="Cambria" w:cs="Cambria"/>
      <w:b/>
      <w:bCs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99"/>
    <w:qFormat/>
    <w:rsid w:val="00D22CDE"/>
    <w:pPr>
      <w:pBdr>
        <w:bottom w:val="single" w:sz="4" w:space="1" w:color="auto"/>
      </w:pBdr>
      <w:spacing w:after="200"/>
    </w:pPr>
    <w:rPr>
      <w:rFonts w:ascii="Cambria" w:hAnsi="Cambria" w:cs="Cambria"/>
      <w:spacing w:val="5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99"/>
    <w:rsid w:val="00D22CDE"/>
    <w:rPr>
      <w:rFonts w:ascii="Cambria" w:eastAsia="Times New Roman" w:hAnsi="Cambria" w:cs="Cambria"/>
      <w:spacing w:val="5"/>
      <w:sz w:val="52"/>
      <w:szCs w:val="52"/>
    </w:rPr>
  </w:style>
  <w:style w:type="paragraph" w:styleId="Listenabsatz">
    <w:name w:val="List Paragraph"/>
    <w:basedOn w:val="Standard"/>
    <w:uiPriority w:val="99"/>
    <w:qFormat/>
    <w:rsid w:val="00D22CD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Kopfzeile">
    <w:name w:val="header"/>
    <w:basedOn w:val="Standard"/>
    <w:link w:val="KopfzeileZeichen"/>
    <w:uiPriority w:val="99"/>
    <w:unhideWhenUsed/>
    <w:rsid w:val="00D22CD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22CDE"/>
    <w:rPr>
      <w:rFonts w:ascii="Times New Roman" w:eastAsia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eichen"/>
    <w:uiPriority w:val="99"/>
    <w:unhideWhenUsed/>
    <w:rsid w:val="00D22CD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22C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webSettings" Target="webSettings.xml"/><Relationship Id="rId10" Type="http://schemas.openxmlformats.org/officeDocument/2006/relationships/theme" Target="theme/theme1.xml"/><Relationship Id="rId5" Type="http://schemas.openxmlformats.org/officeDocument/2006/relationships/footnotes" Target="footnotes.xml"/><Relationship Id="rId7" Type="http://schemas.openxmlformats.org/officeDocument/2006/relationships/image" Target="media/image1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fontTable" Target="fontTable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1260</Characters>
  <Application>Microsoft Macintosh Word</Application>
  <DocSecurity>0</DocSecurity>
  <Lines>10</Lines>
  <Paragraphs>2</Paragraphs>
  <ScaleCrop>false</ScaleCrop>
  <Company> 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Enke-Cichon, Nina</dc:creator>
  <cp:keywords/>
  <dc:description/>
  <cp:lastModifiedBy>Theresa von Bierbrauer</cp:lastModifiedBy>
  <cp:revision>2</cp:revision>
  <cp:lastPrinted>2010-10-13T08:01:00Z</cp:lastPrinted>
  <dcterms:created xsi:type="dcterms:W3CDTF">2010-10-13T09:58:00Z</dcterms:created>
  <dcterms:modified xsi:type="dcterms:W3CDTF">2010-10-13T09:58:00Z</dcterms:modified>
</cp:coreProperties>
</file>